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826" w:rsidRPr="00EA1826" w:rsidRDefault="00EA1826" w:rsidP="00EA1826">
      <w:pPr>
        <w:ind w:firstLine="708"/>
        <w:jc w:val="both"/>
        <w:rPr>
          <w:rFonts w:asciiTheme="minorHAnsi" w:hAnsiTheme="minorHAnsi" w:cstheme="minorHAnsi"/>
          <w:color w:val="000000"/>
          <w:lang w:eastAsia="cs-CZ"/>
        </w:rPr>
      </w:pPr>
      <w:r w:rsidRPr="00C33783">
        <w:rPr>
          <w:rFonts w:asciiTheme="minorHAnsi" w:hAnsiTheme="minorHAnsi" w:cstheme="minorHAnsi"/>
          <w:b/>
          <w:color w:val="000000"/>
          <w:lang w:eastAsia="cs-CZ"/>
        </w:rPr>
        <w:t>Stanovení minimálních technických parametrů svítidla</w:t>
      </w:r>
      <w:r w:rsidR="00C33783" w:rsidRPr="00C33783">
        <w:rPr>
          <w:rFonts w:asciiTheme="minorHAnsi" w:hAnsiTheme="minorHAnsi" w:cstheme="minorHAnsi"/>
          <w:b/>
          <w:color w:val="000000"/>
          <w:lang w:eastAsia="cs-CZ"/>
        </w:rPr>
        <w:t xml:space="preserve"> BARA, ADEL VASA</w:t>
      </w:r>
      <w:r w:rsidRPr="00EA1826">
        <w:rPr>
          <w:rFonts w:asciiTheme="minorHAnsi" w:hAnsiTheme="minorHAnsi" w:cstheme="minorHAnsi"/>
          <w:color w:val="000000"/>
          <w:lang w:eastAsia="cs-CZ"/>
        </w:rPr>
        <w:t>: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celohliníkové provedení z tlakově litého hliníku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jednotný tvar svítidla pro všechny světelné situace a výkony včetně přechodových svítidel s </w:t>
      </w:r>
      <w:proofErr w:type="spellStart"/>
      <w:r w:rsidRPr="00EA1826">
        <w:rPr>
          <w:rFonts w:asciiTheme="minorHAnsi" w:hAnsiTheme="minorHAnsi" w:cstheme="minorHAnsi"/>
        </w:rPr>
        <w:t>vyjímkou</w:t>
      </w:r>
      <w:proofErr w:type="spellEnd"/>
      <w:r w:rsidRPr="00EA1826">
        <w:rPr>
          <w:rFonts w:asciiTheme="minorHAnsi" w:hAnsiTheme="minorHAnsi" w:cstheme="minorHAnsi"/>
        </w:rPr>
        <w:t xml:space="preserve"> parkových světel</w:t>
      </w:r>
    </w:p>
    <w:p w:rsidR="00C33783" w:rsidRPr="00C33783" w:rsidRDefault="00EA1826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 xml:space="preserve">svítidlo </w:t>
      </w:r>
      <w:proofErr w:type="gramStart"/>
      <w:r w:rsidRPr="00EA1826">
        <w:rPr>
          <w:rFonts w:asciiTheme="minorHAnsi" w:hAnsiTheme="minorHAnsi" w:cstheme="minorHAnsi"/>
        </w:rPr>
        <w:t>je</w:t>
      </w:r>
      <w:proofErr w:type="gramEnd"/>
      <w:r w:rsidRPr="00EA1826">
        <w:rPr>
          <w:rFonts w:asciiTheme="minorHAnsi" w:hAnsiTheme="minorHAnsi" w:cstheme="minorHAnsi"/>
        </w:rPr>
        <w:t xml:space="preserve"> certifikováno evropskou notifikovanou osobou</w:t>
      </w:r>
      <w:r w:rsidR="00C33783">
        <w:rPr>
          <w:rFonts w:asciiTheme="minorHAnsi" w:hAnsiTheme="minorHAnsi" w:cstheme="minorHAnsi"/>
        </w:rPr>
        <w:br/>
      </w:r>
      <w:r w:rsidR="00C33783" w:rsidRPr="00C33783">
        <w:rPr>
          <w:rFonts w:asciiTheme="minorHAnsi" w:hAnsiTheme="minorHAnsi" w:cstheme="minorHAnsi"/>
        </w:rPr>
        <w:t>Svítidla musí být posuzována a musí splňovat požadavky následujících nařízení a norem:</w:t>
      </w:r>
    </w:p>
    <w:p w:rsidR="00C33783" w:rsidRPr="00C33783" w:rsidRDefault="00C33783" w:rsidP="00C33783">
      <w:pPr>
        <w:pStyle w:val="Odstavecseseznamem"/>
        <w:spacing w:after="160" w:line="259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C33783" w:rsidRPr="00C33783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>Nařízení vlády č. 117/2016 Sb. - o posuzování shody výrobků z hlediska elektromagnetické kompatibility při jejich dodávání na trh</w:t>
      </w:r>
    </w:p>
    <w:p w:rsidR="00C33783" w:rsidRPr="00C33783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>Nařízení vlády č. 118/2016 Sb. - o posuzování shody elektrických zařízení určených pro používání v určitých mezích napětí při jejich dodávání na trh</w:t>
      </w:r>
    </w:p>
    <w:p w:rsidR="00C33783" w:rsidRPr="00C33783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 xml:space="preserve">Nařízení vlády č. 481/2012 Sb., o omezení používání některých nebezpečných látek v elektrických a elektronických zařízeních znění v platném znění </w:t>
      </w:r>
    </w:p>
    <w:p w:rsidR="00C33783" w:rsidRPr="00C33783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>ČSN EN 60598-1 ed.6:2015 - Svítidla - Část 1: Obecné požadavky a zkoušky</w:t>
      </w:r>
    </w:p>
    <w:p w:rsidR="00C33783" w:rsidRPr="00C33783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 xml:space="preserve">ČSN EN 60598-2-3 </w:t>
      </w:r>
      <w:proofErr w:type="spellStart"/>
      <w:r w:rsidRPr="00C33783">
        <w:rPr>
          <w:rFonts w:asciiTheme="minorHAnsi" w:hAnsiTheme="minorHAnsi" w:cstheme="minorHAnsi"/>
        </w:rPr>
        <w:t>ed</w:t>
      </w:r>
      <w:proofErr w:type="spellEnd"/>
      <w:r w:rsidRPr="00C33783">
        <w:rPr>
          <w:rFonts w:asciiTheme="minorHAnsi" w:hAnsiTheme="minorHAnsi" w:cstheme="minorHAnsi"/>
        </w:rPr>
        <w:t>. 2*) - Svítidla – Část 2-3: Zvláštní požadavky – Svítidla pro osvětlení pozemních komunikací</w:t>
      </w:r>
    </w:p>
    <w:p w:rsidR="00C33783" w:rsidRPr="00C33783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>ČSN EN 62233:2008 - Metody měření elektromagnetických polí spotřebičů pro domácnost a podobných přístrojů vzhledem k expozici osob</w:t>
      </w:r>
    </w:p>
    <w:p w:rsidR="00C33783" w:rsidRPr="00C33783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>ČSN EN 55015 ed.4:2014 - Meze a metody měření charakteristik vysokofrekvenčního rušení způsobeného elektrickými svítidly a podobným zařízením</w:t>
      </w:r>
    </w:p>
    <w:p w:rsidR="00C33783" w:rsidRPr="00C33783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>ČSN EN 61000-3-2 ed.4:2015 - Elektromagnetická kompatibilita (EMC) - Část 3-2: Meze - Meze pro emise proudu harmonických (zařízení se vstupním fázovým proudem ≤ 16 A)</w:t>
      </w:r>
    </w:p>
    <w:p w:rsidR="00C33783" w:rsidRPr="00C33783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 xml:space="preserve">ČSN EN 61000-3-3 ed.3:2014 - Elektromagnetická kompatibilita (EMC) - Část 3-3: Meze - Omezování změn napětí, kolísání napětí a </w:t>
      </w:r>
      <w:proofErr w:type="spellStart"/>
      <w:r w:rsidRPr="00C33783">
        <w:rPr>
          <w:rFonts w:asciiTheme="minorHAnsi" w:hAnsiTheme="minorHAnsi" w:cstheme="minorHAnsi"/>
        </w:rPr>
        <w:t>flikru</w:t>
      </w:r>
      <w:proofErr w:type="spellEnd"/>
      <w:r w:rsidRPr="00C33783">
        <w:rPr>
          <w:rFonts w:asciiTheme="minorHAnsi" w:hAnsiTheme="minorHAnsi" w:cstheme="minorHAnsi"/>
        </w:rPr>
        <w:t xml:space="preserve"> v rozvodných sítích nízkého napětí pro zařízení se jmenovitým fázovým proudem ≤ 16 A, které není předmětem podmíněného připojení</w:t>
      </w:r>
    </w:p>
    <w:p w:rsidR="00C33783" w:rsidRPr="00C33783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>ČSN EN 60598-2-3 ed.2:2003 - Zařízení pro všeobecné osvětlovací účely - EMC požadavky odolnosti</w:t>
      </w:r>
    </w:p>
    <w:p w:rsidR="00EA1826" w:rsidRPr="00EA1826" w:rsidRDefault="00C33783" w:rsidP="00C33783">
      <w:pPr>
        <w:pStyle w:val="Odstavecseseznamem"/>
        <w:numPr>
          <w:ilvl w:val="1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33783">
        <w:rPr>
          <w:rFonts w:asciiTheme="minorHAnsi" w:hAnsiTheme="minorHAnsi" w:cstheme="minorHAnsi"/>
        </w:rPr>
        <w:t>ČSN EN 62262 - Stupně ochrany poskytované kryty elektrických zařízení proti vnějším mechanickým nárazům (IK kód)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proofErr w:type="spellStart"/>
      <w:r w:rsidRPr="00EA1826">
        <w:rPr>
          <w:rFonts w:asciiTheme="minorHAnsi" w:hAnsiTheme="minorHAnsi" w:cstheme="minorHAnsi"/>
        </w:rPr>
        <w:t>bezžebrové</w:t>
      </w:r>
      <w:proofErr w:type="spellEnd"/>
      <w:r w:rsidRPr="00EA1826">
        <w:rPr>
          <w:rFonts w:asciiTheme="minorHAnsi" w:hAnsiTheme="minorHAnsi" w:cstheme="minorHAnsi"/>
        </w:rPr>
        <w:t xml:space="preserve"> provedení s hladkým oblým povrchem a obvodem svítidla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ostatní mechanické komponenty z nerezové oceli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optická část kryta tvrzeným rovným sklem pro zamezení vyzařování do horního poloprostoru. Její otevření pouze přes šrouby.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proofErr w:type="spellStart"/>
      <w:r w:rsidRPr="00EA1826">
        <w:rPr>
          <w:rFonts w:asciiTheme="minorHAnsi" w:hAnsiTheme="minorHAnsi" w:cstheme="minorHAnsi"/>
        </w:rPr>
        <w:t>beznástrojové</w:t>
      </w:r>
      <w:proofErr w:type="spellEnd"/>
      <w:r w:rsidRPr="00EA1826">
        <w:rPr>
          <w:rFonts w:asciiTheme="minorHAnsi" w:hAnsiTheme="minorHAnsi" w:cstheme="minorHAnsi"/>
        </w:rPr>
        <w:t xml:space="preserve"> otevření předřadné části ze zadní části svítidla (od sloupu VO) právě jedním mechanismem, výměna předřadné a optické části bez nutnosti demontáže svítidla ze sloupu VO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vícenásobné LED světelné zdroje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sekundární optika z čirého polykarbonátu bez použití reflektorů a obdobných prvků s možností volby z </w:t>
      </w:r>
      <w:proofErr w:type="gramStart"/>
      <w:r w:rsidRPr="00EA1826">
        <w:rPr>
          <w:rFonts w:asciiTheme="minorHAnsi" w:hAnsiTheme="minorHAnsi" w:cstheme="minorHAnsi"/>
        </w:rPr>
        <w:t>minimálně 8-mi</w:t>
      </w:r>
      <w:proofErr w:type="gramEnd"/>
      <w:r w:rsidRPr="00EA1826">
        <w:rPr>
          <w:rFonts w:asciiTheme="minorHAnsi" w:hAnsiTheme="minorHAnsi" w:cstheme="minorHAnsi"/>
        </w:rPr>
        <w:t xml:space="preserve"> různých druhů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možnost volby náhradní teploty chromatičnosti vyzařovaného světla v rozsahu 2200°K ÷ 5700°K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 xml:space="preserve">svítidlo je vybaveno doplňkovým určením správné polohy na stožáru pomocí instalované vodováhy 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 xml:space="preserve">věrnost barevného podání </w:t>
      </w:r>
      <w:r w:rsidRPr="00EA1826">
        <w:rPr>
          <w:rFonts w:asciiTheme="minorHAnsi" w:hAnsiTheme="minorHAnsi" w:cstheme="minorHAnsi"/>
          <w:lang w:val="en-GB"/>
        </w:rPr>
        <w:t>min. CRi70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svítidlo umožňuje montáž na výložník, na raménko i na svislý stožár od průměru 40mm do průměru min. 76 mm a náklon -10°/+10° bez dalšího příslušenství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možnost zajištění konstantního světelného toku po dobu životnosti svítidla (CLO)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svítidlo musí mít možnost vyrovnávání tlaků a teplot vnitřního prostředí</w:t>
      </w:r>
    </w:p>
    <w:p w:rsidR="00EA1826" w:rsidRPr="00EA1826" w:rsidRDefault="00EA1826" w:rsidP="00EA1826">
      <w:pPr>
        <w:pStyle w:val="Odstavecseseznamem"/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buď speciální průchodkou, nebo membránou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měrný systémový světelný výkon svítidla větší než 120lm/W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autonomní ovládání světelného toku svítidla (regulací intenzity světelného toku a příkonu v několika časových intervalech během noci)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řízení provozu svítidla na základě monitoringu zdrojové a LED části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svítidlo je vybaveno odpojovačem předřadné části při otevření krytu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lastRenderedPageBreak/>
        <w:t>přepěťová ochrana 10kV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krytí IP66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třída ochrany I / II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odolnost proti mechanickému poškození IK09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aktivní kompenzace účiníku (PFC) – minimální účiník 0,95 při plném výkonu a 230VAC</w:t>
      </w:r>
    </w:p>
    <w:p w:rsidR="00EA1826" w:rsidRP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 xml:space="preserve">životnost světelných zdrojů </w:t>
      </w:r>
      <w:r>
        <w:rPr>
          <w:rFonts w:asciiTheme="minorHAnsi" w:hAnsiTheme="minorHAnsi" w:cstheme="minorHAnsi"/>
        </w:rPr>
        <w:t>100 000 provozních hodin při L90B</w:t>
      </w:r>
      <w:r w:rsidRPr="00EA1826">
        <w:rPr>
          <w:rFonts w:asciiTheme="minorHAnsi" w:hAnsiTheme="minorHAnsi" w:cstheme="minorHAnsi"/>
        </w:rPr>
        <w:t>10</w:t>
      </w:r>
    </w:p>
    <w:p w:rsidR="00EA1826" w:rsidRDefault="00EA1826" w:rsidP="00EA1826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životnost předřadné části 100 000 provozních hodin</w:t>
      </w:r>
    </w:p>
    <w:p w:rsidR="00C33783" w:rsidRPr="00EA1826" w:rsidRDefault="00C33783" w:rsidP="00C33783">
      <w:pPr>
        <w:ind w:firstLine="708"/>
        <w:jc w:val="both"/>
        <w:rPr>
          <w:rFonts w:asciiTheme="minorHAnsi" w:hAnsiTheme="minorHAnsi" w:cstheme="minorHAnsi"/>
          <w:color w:val="000000"/>
          <w:lang w:eastAsia="cs-CZ"/>
        </w:rPr>
      </w:pPr>
      <w:r w:rsidRPr="00C33783">
        <w:rPr>
          <w:rFonts w:asciiTheme="minorHAnsi" w:hAnsiTheme="minorHAnsi" w:cstheme="minorHAnsi"/>
          <w:b/>
          <w:color w:val="000000"/>
          <w:lang w:eastAsia="cs-CZ"/>
        </w:rPr>
        <w:t xml:space="preserve">Stanovení minimálních technických parametrů svítidla </w:t>
      </w:r>
      <w:r w:rsidRPr="00C33783">
        <w:rPr>
          <w:rFonts w:asciiTheme="minorHAnsi" w:hAnsiTheme="minorHAnsi" w:cstheme="minorHAnsi"/>
          <w:b/>
          <w:color w:val="000000"/>
          <w:lang w:eastAsia="cs-CZ"/>
        </w:rPr>
        <w:t>ANNY</w:t>
      </w:r>
      <w:r w:rsidRPr="00EA1826">
        <w:rPr>
          <w:rFonts w:asciiTheme="minorHAnsi" w:hAnsiTheme="minorHAnsi" w:cstheme="minorHAnsi"/>
          <w:color w:val="000000"/>
          <w:lang w:eastAsia="cs-CZ"/>
        </w:rPr>
        <w:t>: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celohliníkové provedení z tlakově litého hliníku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jednotný tvar svítidla pro všechny světelné situace a výkony včetně přechodových svítidel s </w:t>
      </w:r>
      <w:proofErr w:type="spellStart"/>
      <w:r w:rsidRPr="00EA1826">
        <w:rPr>
          <w:rFonts w:asciiTheme="minorHAnsi" w:hAnsiTheme="minorHAnsi" w:cstheme="minorHAnsi"/>
        </w:rPr>
        <w:t>vyjímkou</w:t>
      </w:r>
      <w:proofErr w:type="spellEnd"/>
      <w:r w:rsidRPr="00EA1826">
        <w:rPr>
          <w:rFonts w:asciiTheme="minorHAnsi" w:hAnsiTheme="minorHAnsi" w:cstheme="minorHAnsi"/>
        </w:rPr>
        <w:t xml:space="preserve"> parkových světel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proofErr w:type="spellStart"/>
      <w:r w:rsidRPr="00EA1826">
        <w:rPr>
          <w:rFonts w:asciiTheme="minorHAnsi" w:hAnsiTheme="minorHAnsi" w:cstheme="minorHAnsi"/>
        </w:rPr>
        <w:t>bezžebrové</w:t>
      </w:r>
      <w:proofErr w:type="spellEnd"/>
      <w:r w:rsidRPr="00EA1826">
        <w:rPr>
          <w:rFonts w:asciiTheme="minorHAnsi" w:hAnsiTheme="minorHAnsi" w:cstheme="minorHAnsi"/>
        </w:rPr>
        <w:t xml:space="preserve"> provedení s hladkým oblým povrchem a obvodem svítidla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ostatní mechanické komponenty z nerezové oceli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optická část kryta tvrzeným rovným sklem pro zamezení vyzařování do horního poloprostoru. Její otevření pouze přes šrouby.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proofErr w:type="spellStart"/>
      <w:r w:rsidRPr="00EA1826">
        <w:rPr>
          <w:rFonts w:asciiTheme="minorHAnsi" w:hAnsiTheme="minorHAnsi" w:cstheme="minorHAnsi"/>
        </w:rPr>
        <w:t>beznástrojové</w:t>
      </w:r>
      <w:proofErr w:type="spellEnd"/>
      <w:r w:rsidRPr="00EA1826">
        <w:rPr>
          <w:rFonts w:asciiTheme="minorHAnsi" w:hAnsiTheme="minorHAnsi" w:cstheme="minorHAnsi"/>
        </w:rPr>
        <w:t xml:space="preserve"> otevření předřadné části ze zadní části svítidla (od sloupu VO) právě jedním mechanismem, výměna předřadné a optické části bez nutnosti demontáže svítidla ze sloupu VO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vícenásobné LED světelné zdroje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sekundární optika z čirého polykarbonátu bez použití reflektorů a obdobných prvků s možností volby z </w:t>
      </w:r>
      <w:proofErr w:type="gramStart"/>
      <w:r w:rsidRPr="00EA1826">
        <w:rPr>
          <w:rFonts w:asciiTheme="minorHAnsi" w:hAnsiTheme="minorHAnsi" w:cstheme="minorHAnsi"/>
        </w:rPr>
        <w:t>minimálně 8-mi</w:t>
      </w:r>
      <w:proofErr w:type="gramEnd"/>
      <w:r w:rsidRPr="00EA1826">
        <w:rPr>
          <w:rFonts w:asciiTheme="minorHAnsi" w:hAnsiTheme="minorHAnsi" w:cstheme="minorHAnsi"/>
        </w:rPr>
        <w:t xml:space="preserve"> různých druhů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možnost volby náhradní teploty chromatičnosti vyzařovaného světla v rozsahu 2200°K ÷ 5700°K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 xml:space="preserve">věrnost barevného podání </w:t>
      </w:r>
      <w:r w:rsidRPr="00EA1826">
        <w:rPr>
          <w:rFonts w:asciiTheme="minorHAnsi" w:hAnsiTheme="minorHAnsi" w:cstheme="minorHAnsi"/>
          <w:lang w:val="en-GB"/>
        </w:rPr>
        <w:t>min. CRi70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 xml:space="preserve">svítidlo umožňuje montáž na výložník, na raménko i na svislý stožár od průměru 40mm do průměru min. </w:t>
      </w:r>
      <w:r>
        <w:rPr>
          <w:rFonts w:asciiTheme="minorHAnsi" w:hAnsiTheme="minorHAnsi" w:cstheme="minorHAnsi"/>
        </w:rPr>
        <w:t>60</w:t>
      </w:r>
      <w:r w:rsidRPr="00EA1826">
        <w:rPr>
          <w:rFonts w:asciiTheme="minorHAnsi" w:hAnsiTheme="minorHAnsi" w:cstheme="minorHAnsi"/>
        </w:rPr>
        <w:t> mm a náklon -10°/+10° bez dalšího příslušenství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možnost zajištění konstantního světelného toku po dobu životnosti svítidla (CLO)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svítidlo musí mít možnost vyrovnávání tlaků a teplot vnitřního prostředí</w:t>
      </w:r>
    </w:p>
    <w:p w:rsidR="00C33783" w:rsidRPr="00EA1826" w:rsidRDefault="00C33783" w:rsidP="00C33783">
      <w:pPr>
        <w:pStyle w:val="Odstavecseseznamem"/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buď speciální průchodkou, nebo membránou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měrný systémový světelný výkon svítidla větší než 120lm/W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autonomní ovládání světelného toku svítidla (regulací intenzity světelného toku a příkonu v několika časových intervalech během noci)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řízení provozu svítidla na základě monitoringu zdrojové části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svítidlo je vybaveno odpojovačem předřadné části při otevření krytu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přepěťová ochrana 10kV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krytí IP66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třída ochrany I / II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>aktivní kompenzace účiníku (PFC) – minimální účiník 0,95 při plném výkonu a 230VAC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EA1826">
        <w:rPr>
          <w:rFonts w:asciiTheme="minorHAnsi" w:hAnsiTheme="minorHAnsi" w:cstheme="minorHAnsi"/>
        </w:rPr>
        <w:t xml:space="preserve">životnost světelných zdrojů </w:t>
      </w:r>
      <w:r>
        <w:rPr>
          <w:rFonts w:asciiTheme="minorHAnsi" w:hAnsiTheme="minorHAnsi" w:cstheme="minorHAnsi"/>
        </w:rPr>
        <w:t>100 000 provozních hodin při L</w:t>
      </w:r>
      <w:r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0B</w:t>
      </w:r>
      <w:r w:rsidRPr="00EA1826">
        <w:rPr>
          <w:rFonts w:asciiTheme="minorHAnsi" w:hAnsiTheme="minorHAnsi" w:cstheme="minorHAnsi"/>
        </w:rPr>
        <w:t>10</w:t>
      </w:r>
    </w:p>
    <w:p w:rsidR="00C33783" w:rsidRPr="00EA1826" w:rsidRDefault="00C33783" w:rsidP="00C33783">
      <w:pPr>
        <w:pStyle w:val="Odstavecseseznamem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životnost předřadné části 8</w:t>
      </w:r>
      <w:r w:rsidRPr="00EA1826">
        <w:rPr>
          <w:rFonts w:asciiTheme="minorHAnsi" w:hAnsiTheme="minorHAnsi" w:cstheme="minorHAnsi"/>
        </w:rPr>
        <w:t>0 000 provozních hodin</w:t>
      </w:r>
    </w:p>
    <w:p w:rsidR="00C33783" w:rsidRPr="00C33783" w:rsidRDefault="00C33783" w:rsidP="00C33783">
      <w:pPr>
        <w:spacing w:after="160" w:line="259" w:lineRule="auto"/>
        <w:rPr>
          <w:rFonts w:asciiTheme="minorHAnsi" w:hAnsiTheme="minorHAnsi" w:cstheme="minorHAnsi"/>
        </w:rPr>
      </w:pPr>
    </w:p>
    <w:p w:rsidR="00EA1826" w:rsidRPr="00C33783" w:rsidRDefault="00EA1826" w:rsidP="00C33783">
      <w:pPr>
        <w:pStyle w:val="Odstavecseseznamem"/>
        <w:spacing w:after="160" w:line="259" w:lineRule="auto"/>
        <w:rPr>
          <w:rFonts w:asciiTheme="minorHAnsi" w:hAnsiTheme="minorHAnsi" w:cstheme="minorHAnsi"/>
        </w:rPr>
      </w:pPr>
    </w:p>
    <w:sectPr w:rsidR="00EA1826" w:rsidRPr="00C33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A2F85"/>
    <w:multiLevelType w:val="hybridMultilevel"/>
    <w:tmpl w:val="1C205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826"/>
    <w:rsid w:val="00C33783"/>
    <w:rsid w:val="00EA1826"/>
    <w:rsid w:val="00F1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75B61-80E3-40D0-B5F6-0B81B58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1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A1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801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Pechman</dc:creator>
  <cp:keywords/>
  <dc:description/>
  <cp:lastModifiedBy>Radek Pechman</cp:lastModifiedBy>
  <cp:revision>2</cp:revision>
  <dcterms:created xsi:type="dcterms:W3CDTF">2020-08-04T08:00:00Z</dcterms:created>
  <dcterms:modified xsi:type="dcterms:W3CDTF">2020-08-04T08:00:00Z</dcterms:modified>
</cp:coreProperties>
</file>